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D2AE1" w:rsidRPr="003A4CA6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REPUBLIKA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SRBIJA</w:t>
      </w:r>
    </w:p>
    <w:p w:rsidR="00AD2AE1" w:rsidRPr="003A4CA6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NARODNA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SKUPŠTINA</w:t>
      </w:r>
    </w:p>
    <w:p w:rsidR="00AD2AE1" w:rsidRPr="003A4CA6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pravosuđe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državnu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AD2AE1" w:rsidRPr="003A4CA6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upravu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lokalnu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samoupravu</w:t>
      </w:r>
    </w:p>
    <w:p w:rsidR="005B4426" w:rsidRPr="005B4426" w:rsidRDefault="005B4426" w:rsidP="005B44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B4426"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="00495603">
        <w:rPr>
          <w:rFonts w:ascii="Times New Roman" w:hAnsi="Times New Roman"/>
          <w:sz w:val="24"/>
          <w:szCs w:val="24"/>
          <w:lang w:val="sr-Cyrl-CS"/>
        </w:rPr>
        <w:t>Broj</w:t>
      </w:r>
      <w:r w:rsidRPr="005B4426">
        <w:rPr>
          <w:rFonts w:ascii="Times New Roman" w:hAnsi="Times New Roman"/>
          <w:sz w:val="24"/>
          <w:szCs w:val="24"/>
          <w:lang w:val="sr-Cyrl-CS"/>
        </w:rPr>
        <w:t>: 06-2/</w:t>
      </w:r>
      <w:r w:rsidRPr="005B4426">
        <w:rPr>
          <w:rFonts w:ascii="Times New Roman" w:hAnsi="Times New Roman"/>
          <w:sz w:val="24"/>
          <w:szCs w:val="24"/>
          <w:lang w:val="sr-Cyrl-RS"/>
        </w:rPr>
        <w:t>224</w:t>
      </w:r>
      <w:r w:rsidRPr="005B4426">
        <w:rPr>
          <w:rFonts w:ascii="Times New Roman" w:hAnsi="Times New Roman"/>
          <w:sz w:val="24"/>
          <w:szCs w:val="24"/>
          <w:lang w:val="sr-Cyrl-CS"/>
        </w:rPr>
        <w:t>-1</w:t>
      </w:r>
      <w:r w:rsidRPr="005B4426">
        <w:rPr>
          <w:rFonts w:ascii="Times New Roman" w:hAnsi="Times New Roman"/>
          <w:sz w:val="24"/>
          <w:szCs w:val="24"/>
        </w:rPr>
        <w:t>3</w:t>
      </w:r>
    </w:p>
    <w:p w:rsidR="005B4426" w:rsidRPr="005B4426" w:rsidRDefault="005B4426" w:rsidP="005B442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B4426">
        <w:rPr>
          <w:rFonts w:ascii="Times New Roman" w:hAnsi="Times New Roman"/>
          <w:sz w:val="24"/>
          <w:szCs w:val="24"/>
          <w:lang w:val="sr-Cyrl-RS"/>
        </w:rPr>
        <w:t>1</w:t>
      </w:r>
      <w:r w:rsidR="008A10BA">
        <w:rPr>
          <w:rFonts w:ascii="Times New Roman" w:hAnsi="Times New Roman"/>
          <w:sz w:val="24"/>
          <w:szCs w:val="24"/>
        </w:rPr>
        <w:t>7</w:t>
      </w:r>
      <w:r w:rsidRPr="005B442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95603">
        <w:rPr>
          <w:rFonts w:ascii="Times New Roman" w:hAnsi="Times New Roman"/>
          <w:sz w:val="24"/>
          <w:szCs w:val="24"/>
          <w:lang w:val="sr-Cyrl-CS"/>
        </w:rPr>
        <w:t>jun</w:t>
      </w:r>
      <w:r w:rsidRPr="005B4426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495603">
        <w:rPr>
          <w:rFonts w:ascii="Times New Roman" w:hAnsi="Times New Roman"/>
          <w:sz w:val="24"/>
          <w:szCs w:val="24"/>
          <w:lang w:val="sr-Cyrl-CS"/>
        </w:rPr>
        <w:t>godine</w:t>
      </w:r>
    </w:p>
    <w:p w:rsidR="00AD2AE1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B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</w:p>
    <w:p w:rsidR="00897103" w:rsidRDefault="008971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97103" w:rsidRDefault="008971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3A4CA6" w:rsidRDefault="00495603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AD2AE1" w:rsidRPr="003A4CA6" w:rsidRDefault="005B4426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28</w:t>
      </w:r>
      <w:r w:rsidR="00AD2AE1" w:rsidRPr="00F578DC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  <w:r w:rsidR="00AD2AE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AD2AE1"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:rsidR="00AD2AE1" w:rsidRPr="003A4CA6" w:rsidRDefault="00495603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AD2AE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5B4426">
        <w:rPr>
          <w:rFonts w:ascii="Times New Roman" w:eastAsia="Times New Roman" w:hAnsi="Times New Roman"/>
          <w:b/>
          <w:sz w:val="24"/>
          <w:szCs w:val="24"/>
          <w:lang w:val="ru-RU"/>
        </w:rPr>
        <w:t>17</w:t>
      </w:r>
      <w:r w:rsidR="00AD2AE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JUNA</w:t>
      </w:r>
      <w:r w:rsidR="00AD2AE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 w:rsidR="005B4426">
        <w:rPr>
          <w:rFonts w:ascii="Times New Roman" w:eastAsia="Times New Roman" w:hAnsi="Times New Roman"/>
          <w:b/>
          <w:sz w:val="24"/>
          <w:szCs w:val="24"/>
          <w:lang w:val="sr-Cyrl-CS"/>
        </w:rPr>
        <w:t>3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AD2AE1" w:rsidRDefault="00AD2AE1" w:rsidP="00AD2AE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97103" w:rsidRPr="003A4CA6" w:rsidRDefault="00897103" w:rsidP="00AD2AE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8A10BA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="00E91629"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D2AE1" w:rsidRPr="00AD4663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Cvijan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Mirna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Kosanović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710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Svetislava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Bulajić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Biljana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Hasanović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Korać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Pavle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Markov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RS"/>
        </w:rPr>
        <w:t>Miković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</w:p>
    <w:p w:rsidR="00675D44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Dejan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Rajčić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Srđana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Spasojevića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3A4CA6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           </w:t>
      </w:r>
    </w:p>
    <w:p w:rsidR="00AD2AE1" w:rsidRPr="008A10BA" w:rsidRDefault="00495603" w:rsidP="008A10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D2AE1"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AD2AE1"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AD2A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AD2A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AD2AE1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AD2A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Slobodan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Homen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Katarina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Rakić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Joković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="0036550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niti</w:t>
      </w:r>
      <w:r w:rsidR="0036550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36550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6550E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direktor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A10BA">
        <w:rPr>
          <w:rFonts w:ascii="Times New Roman" w:eastAsia="Times New Roman" w:hAnsi="Times New Roman"/>
          <w:sz w:val="24"/>
          <w:szCs w:val="24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Vladan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Joksimović</w:t>
      </w:r>
      <w:r w:rsidR="008A10BA">
        <w:rPr>
          <w:rFonts w:ascii="Times New Roman" w:eastAsia="Times New Roman" w:hAnsi="Times New Roman"/>
          <w:sz w:val="24"/>
          <w:szCs w:val="24"/>
        </w:rPr>
        <w:t>,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direktora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A10BA">
        <w:rPr>
          <w:rFonts w:ascii="Times New Roman" w:eastAsia="Times New Roman" w:hAnsi="Times New Roman"/>
          <w:sz w:val="24"/>
          <w:szCs w:val="24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Zlata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Đorđević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003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0E5C5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Gordana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Janićijević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Republičkog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Branko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Stamenković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03A46" w:rsidRPr="00003A46">
        <w:t xml:space="preserve"> </w:t>
      </w:r>
      <w:proofErr w:type="spellStart"/>
      <w:r w:rsidR="00495603">
        <w:rPr>
          <w:rFonts w:ascii="Times New Roman" w:eastAsia="Times New Roman" w:hAnsi="Times New Roman"/>
          <w:sz w:val="24"/>
          <w:szCs w:val="24"/>
        </w:rPr>
        <w:t>Posebni</w:t>
      </w:r>
      <w:proofErr w:type="spellEnd"/>
      <w:r w:rsidR="00003A46" w:rsidRPr="00003A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603">
        <w:rPr>
          <w:rFonts w:ascii="Times New Roman" w:eastAsia="Times New Roman" w:hAnsi="Times New Roman"/>
          <w:sz w:val="24"/>
          <w:szCs w:val="24"/>
        </w:rPr>
        <w:t>tužilac</w:t>
      </w:r>
      <w:proofErr w:type="spellEnd"/>
      <w:r w:rsidR="00003A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603"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003A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603">
        <w:rPr>
          <w:rFonts w:ascii="Times New Roman" w:eastAsia="Times New Roman" w:hAnsi="Times New Roman"/>
          <w:sz w:val="24"/>
          <w:szCs w:val="24"/>
        </w:rPr>
        <w:t>visokotehnološki</w:t>
      </w:r>
      <w:proofErr w:type="spellEnd"/>
      <w:r w:rsidR="00003A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603">
        <w:rPr>
          <w:rFonts w:ascii="Times New Roman" w:eastAsia="Times New Roman" w:hAnsi="Times New Roman"/>
          <w:sz w:val="24"/>
          <w:szCs w:val="24"/>
        </w:rPr>
        <w:t>kriminal</w:t>
      </w:r>
      <w:proofErr w:type="spellEnd"/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Stanojla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Mandić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Resanović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0E5C5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AD2AE1" w:rsidRPr="0078437E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0F8" w:rsidRPr="00A17FB5" w:rsidRDefault="00495603" w:rsidP="00A17F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 </w:t>
      </w:r>
      <w:r w:rsidR="00AD2AE1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AD2AE1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AD2AE1"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6760F8" w:rsidRPr="006760F8" w:rsidRDefault="006760F8" w:rsidP="006760F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Arial"/>
          <w:bCs/>
          <w:sz w:val="10"/>
          <w:szCs w:val="10"/>
          <w:lang w:val="ru-RU"/>
        </w:rPr>
      </w:pPr>
      <w:r w:rsidRPr="006760F8">
        <w:rPr>
          <w:rFonts w:ascii="Times New Roman" w:hAnsi="Times New Roman" w:cs="Arial"/>
          <w:bCs/>
          <w:sz w:val="24"/>
          <w:szCs w:val="24"/>
          <w:lang w:val="ru-RU"/>
        </w:rPr>
        <w:tab/>
      </w:r>
      <w:r w:rsidRPr="006760F8">
        <w:rPr>
          <w:rFonts w:ascii="Times New Roman" w:hAnsi="Times New Roman" w:cs="Arial"/>
          <w:b/>
          <w:bCs/>
          <w:sz w:val="26"/>
          <w:szCs w:val="26"/>
        </w:rPr>
        <w:t xml:space="preserve">                      </w:t>
      </w:r>
      <w:r w:rsidRPr="006760F8">
        <w:rPr>
          <w:rFonts w:ascii="Times New Roman" w:eastAsia="Batang" w:hAnsi="Times New Roman" w:cs="Arial"/>
          <w:b/>
          <w:sz w:val="26"/>
          <w:szCs w:val="26"/>
          <w:lang w:val="sr-Cyrl-CS"/>
        </w:rPr>
        <w:t xml:space="preserve"> 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1</w:t>
      </w:r>
      <w:r w:rsidR="006760F8" w:rsidRPr="006760F8">
        <w:rPr>
          <w:rFonts w:ascii="Times New Roman" w:hAnsi="Times New Roman" w:cs="Arial"/>
          <w:bCs/>
          <w:sz w:val="24"/>
          <w:szCs w:val="24"/>
        </w:rPr>
        <w:t xml:space="preserve">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Razmatranje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Godišnjeg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Agencije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borbu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protiv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korupcije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;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2</w:t>
      </w:r>
      <w:r w:rsidR="006760F8" w:rsidRPr="006760F8">
        <w:rPr>
          <w:rFonts w:ascii="Times New Roman" w:hAnsi="Times New Roman" w:cs="Arial"/>
          <w:bCs/>
          <w:sz w:val="24"/>
          <w:szCs w:val="24"/>
        </w:rPr>
        <w:t xml:space="preserve">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Razmatranje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javnih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tužilaštava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suzbijanju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kriminaliteta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zaštiti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ustavnosti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zakonitosti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Tužilaštva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ratne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zločine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;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3</w:t>
      </w:r>
      <w:r w:rsidR="004146B3">
        <w:rPr>
          <w:rFonts w:ascii="Times New Roman" w:hAnsi="Times New Roman" w:cs="Arial"/>
          <w:bCs/>
          <w:sz w:val="24"/>
          <w:szCs w:val="24"/>
        </w:rPr>
        <w:t>.</w:t>
      </w:r>
      <w:r w:rsidR="004146B3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Razmatranje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sprovođenju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slobodnom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pristupu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informacijama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javnog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značaja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zaštiti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podataka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ličnosti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;</w:t>
      </w:r>
    </w:p>
    <w:p w:rsidR="006760F8" w:rsidRPr="006760F8" w:rsidRDefault="008A10BA" w:rsidP="006760F8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4.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Razmatranje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Predloga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odluke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izboru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sudija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prvi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put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biraju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sudijsku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funkciju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;</w:t>
      </w:r>
    </w:p>
    <w:p w:rsidR="006760F8" w:rsidRPr="006760F8" w:rsidRDefault="008A10BA" w:rsidP="006760F8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lastRenderedPageBreak/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5.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Predlog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pravosuđe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državnu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upravu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lokalnu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samoupravu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, 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zajedno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Odborom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ljudska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manjinska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ravnopravnost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polova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organizuje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slušanje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Nacionalnog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mehanizma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prevenciju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torture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godinu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;</w:t>
      </w: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6</w:t>
      </w:r>
      <w:r w:rsidR="006760F8" w:rsidRPr="006760F8">
        <w:rPr>
          <w:rFonts w:ascii="Times New Roman" w:hAnsi="Times New Roman" w:cs="Arial"/>
          <w:bCs/>
          <w:sz w:val="24"/>
          <w:szCs w:val="24"/>
          <w:lang w:val="ru-RU"/>
        </w:rPr>
        <w:t xml:space="preserve">. </w:t>
      </w:r>
      <w:r w:rsidR="00495603">
        <w:rPr>
          <w:rFonts w:ascii="Times New Roman" w:hAnsi="Times New Roman" w:cs="Arial"/>
          <w:bCs/>
          <w:sz w:val="24"/>
          <w:szCs w:val="24"/>
          <w:lang w:val="ru-RU"/>
        </w:rPr>
        <w:t>Razno</w:t>
      </w:r>
      <w:r w:rsidR="006760F8" w:rsidRPr="006760F8">
        <w:rPr>
          <w:rFonts w:ascii="Times New Roman" w:hAnsi="Times New Roman" w:cs="Arial"/>
          <w:bCs/>
          <w:sz w:val="24"/>
          <w:szCs w:val="24"/>
          <w:lang w:val="ru-RU"/>
        </w:rPr>
        <w:t>.</w:t>
      </w: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Arial"/>
          <w:bCs/>
          <w:sz w:val="24"/>
          <w:szCs w:val="24"/>
          <w:lang w:val="ru-RU"/>
        </w:rPr>
        <w:t xml:space="preserve">             </w:t>
      </w:r>
      <w:r w:rsidR="00495603">
        <w:rPr>
          <w:rFonts w:ascii="Times New Roman" w:hAnsi="Times New Roman"/>
          <w:sz w:val="24"/>
          <w:szCs w:val="24"/>
          <w:lang w:val="sr-Cyrl-CS"/>
        </w:rPr>
        <w:t>Zapisnik</w:t>
      </w:r>
      <w:r w:rsidR="00AD2A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sa</w:t>
      </w:r>
      <w:r w:rsidR="00AD2A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0F8">
        <w:rPr>
          <w:rFonts w:ascii="Times New Roman" w:hAnsi="Times New Roman"/>
          <w:sz w:val="24"/>
          <w:szCs w:val="24"/>
          <w:lang w:val="sr-Cyrl-CS"/>
        </w:rPr>
        <w:t xml:space="preserve">27. </w:t>
      </w:r>
      <w:r w:rsidR="00495603">
        <w:rPr>
          <w:rFonts w:ascii="Times New Roman" w:hAnsi="Times New Roman"/>
          <w:sz w:val="24"/>
          <w:szCs w:val="24"/>
          <w:lang w:val="sr-Cyrl-CS"/>
        </w:rPr>
        <w:t>sednice</w:t>
      </w:r>
      <w:r w:rsidR="006760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Odbora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usvojen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je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bez</w:t>
      </w:r>
      <w:r w:rsidR="00AD2A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hAnsi="Times New Roman"/>
          <w:sz w:val="24"/>
          <w:szCs w:val="24"/>
          <w:lang w:val="sr-Cyrl-CS"/>
        </w:rPr>
        <w:t>primedaba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>.</w:t>
      </w:r>
    </w:p>
    <w:p w:rsidR="00AD2AE1" w:rsidRPr="008A10BA" w:rsidRDefault="00AD2AE1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 w:rsidRPr="006E508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D2AE1" w:rsidRDefault="00495603" w:rsidP="00897103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AD2AE1" w:rsidRPr="0017500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Razmatranje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Godišnjeg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izveštaja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radu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Agencije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borbu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protiv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korupcije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godinu</w:t>
      </w:r>
      <w:r w:rsidR="00175003" w:rsidRPr="00175003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Pr="00897103" w:rsidRDefault="00897103" w:rsidP="00897103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val="sr-Cyrl-RS"/>
        </w:rPr>
      </w:pPr>
    </w:p>
    <w:p w:rsidR="00265E63" w:rsidRDefault="00AD2AE1" w:rsidP="00265E6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svom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izlaganju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podsetila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prisutne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članove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Ukazala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obim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uticalo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raspisivanje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održavanje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parlamentarnih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izbora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razrešenje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prethodnog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direktora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92616" w:rsidRDefault="00F92616" w:rsidP="00F9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izdvojila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tiču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uvođenja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planova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integriteta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ustanove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postupke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nespojivosti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izrade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programa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obuka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zaposlenih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državnoj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upravi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informacionog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povezivanja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bazama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Republičkog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geodetskog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zavoda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privredne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registre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C3722" w:rsidRDefault="00F92616" w:rsidP="00F9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zaključio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2012.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utvrdi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Ukazano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razmotriti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teksta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pripremila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stručna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služba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odnosi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dati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budućim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22058" w:rsidRDefault="002C3722" w:rsidP="00722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diskusiji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učestvovali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Miković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Dejan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Rajčić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Nenad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Konstatinović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Cvijan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17FB5" w:rsidRDefault="00A17FB5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97103" w:rsidRDefault="00495603" w:rsidP="008971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Druga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687AEB" w:rsidRPr="00687AEB">
        <w:rPr>
          <w:rFonts w:ascii="Times New Roman" w:eastAsia="Times New Roman" w:hAnsi="Times New Roman"/>
          <w:sz w:val="24"/>
          <w:szCs w:val="24"/>
          <w:u w:val="single"/>
          <w:lang w:val="ru-RU"/>
        </w:rPr>
        <w:t>:</w:t>
      </w:r>
      <w:r w:rsidR="00687AEB" w:rsidRPr="00687AE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Razmatranje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Izveštaja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radu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javnih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tužilaštava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na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suzbijanju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kriminaliteta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zaštiti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ustavnosti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zakonitosti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u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 2012.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godini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Izveštaja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radu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Tužilaštva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ratne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zločine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godinu</w:t>
      </w:r>
      <w:r w:rsid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  <w:r w:rsidR="00AD2AE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</w:t>
      </w:r>
    </w:p>
    <w:p w:rsidR="00AD2AE1" w:rsidRPr="00897103" w:rsidRDefault="00AD2AE1" w:rsidP="00897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:rsidR="00A03514" w:rsidRDefault="00495603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Gordana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Janićijević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predstavila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Izveštaj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radu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javnih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tužilaštava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iznoseći</w:t>
      </w:r>
      <w:r w:rsidR="0030752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aktivnosti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tužilaštava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suzbijanju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kriminaliteta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statističke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podatke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postupanju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tužilaštava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određenim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krivičnim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delima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koji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aktivnosti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ilustruju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:rsidR="002D1816" w:rsidRDefault="00495603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Istakla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beleži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povećanje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efikasnosti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rada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javnih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tužilaštava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koje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direktna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posledica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intenzivnije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primene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načela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oportuniteta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sporazuma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priznanju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krivice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čime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se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krivični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postupak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okončava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samom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tužilaštvu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odbacivanjem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krivičnih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prijava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A03514" w:rsidRDefault="00495603" w:rsidP="00A0351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Posebno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ukazala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javna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tužilaštva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od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oktobra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meseca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2013.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godine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dobijaju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novu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procesnu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funkciju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vođenje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tužilačke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istrage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zbog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čega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2012.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godini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obuku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prošlo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450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javnih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tužilaca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njihovih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zamenika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A03514" w:rsidRDefault="00495603" w:rsidP="00BD1C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Članovi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Odbora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obavešteni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BD1C5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BD1C5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Nacrt</w:t>
      </w:r>
      <w:r w:rsidR="00BD1C5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pravilnika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za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vrednovanje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rada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javnih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tužilaca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pripremljen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njegovo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usvajanje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od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strane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Državnog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veća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tužilaca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očekuje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julu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mesecu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2013.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godine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  </w:t>
      </w:r>
    </w:p>
    <w:p w:rsidR="002D1816" w:rsidRDefault="00495603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U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diskusiji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su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učestvovali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Neđo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Jovanović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Srđan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Miković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Vladimir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Cvijan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387A96" w:rsidRPr="00F57594" w:rsidRDefault="00387A96" w:rsidP="00387A96">
      <w:pPr>
        <w:spacing w:after="0" w:line="240" w:lineRule="auto"/>
        <w:ind w:firstLine="720"/>
        <w:jc w:val="both"/>
        <w:rPr>
          <w:rFonts w:ascii="Times New Roman" w:hAnsi="Times New Roman"/>
          <w:bCs/>
          <w:lang w:val="sr-Cyrl-CS"/>
        </w:rPr>
      </w:pPr>
    </w:p>
    <w:p w:rsidR="00EF7233" w:rsidRDefault="00495603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Treća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AD2AE1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AD2AE1" w:rsidRPr="00FA518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Razmatranje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Izveštaja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sprovođenju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Zakona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slobodnom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pristupu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informacijama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od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javnog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značaja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Zakona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zaštiti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podataka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ličnosti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godinu</w:t>
      </w:r>
      <w:r w:rsid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D67653" w:rsidRPr="00A17FB5" w:rsidRDefault="00EF7233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           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Stanojla</w:t>
      </w:r>
      <w:r w:rsidR="00D67653" w:rsidRPr="00D676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Mandić</w:t>
      </w:r>
      <w:r w:rsidR="00D676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istakla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tematski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obuhvata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oblast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slobodnog</w:t>
      </w:r>
      <w:r w:rsidR="00BD1C5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pristupa</w:t>
      </w:r>
      <w:r w:rsidR="00BD1C5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informacijama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javnog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značaja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oblast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zaštite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podataka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ličnosti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čemu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predmeti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tiču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slobodnog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pristupa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informacija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javnog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značaja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čine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70%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ukupnog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broja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predmeta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F34FA6" w:rsidRDefault="00EF7233" w:rsidP="00F34F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nalazi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ukupno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7.500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predmeta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kojih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5.000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predmeta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okončano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čemu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beleži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trend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rasta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broja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pritužbi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odnosu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2011.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jer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samo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prošloj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podneto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oko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3500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pritužbi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Posebno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ukazala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slučajevima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nepostupanja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nalozima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kršenja</w:t>
      </w:r>
      <w:r w:rsidR="003D1A3D" w:rsidRP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Zakona</w:t>
      </w:r>
      <w:r w:rsidR="003D1A3D" w:rsidRP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3D1A3D" w:rsidRP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slobodnom</w:t>
      </w:r>
      <w:r w:rsidR="003D1A3D" w:rsidRP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pristupu</w:t>
      </w:r>
      <w:r w:rsidR="003D1A3D" w:rsidRP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informacijama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javnog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značaja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strane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organa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vlasti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2012.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nije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pokrenut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nijedan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prekršajni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postupak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612C18" w:rsidRDefault="00F34FA6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Ponovo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ukazano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veliki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problem</w:t>
      </w:r>
      <w:r w:rsidR="00BF5DC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stvara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nedostatak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prostora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samo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otežava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rad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već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ugrožava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samo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vršenje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nadležnosti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Poverenika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31737F" w:rsidRDefault="00612C18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Aleksandar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Resanović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izneo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stav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trogodišnjoj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primeni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77599F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Zakona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zaštiti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podataka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ličnosti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uočene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brojne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neusaglašenosti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međunarodnim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standardima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zbog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toga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neophodno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doneti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nov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ili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postojeći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izmeniti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dopuniti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doneti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podzakonske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propise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kako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mogao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primenjuje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Ukazao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takođe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neophodnost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edukacije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rukovalaca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podacima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kojih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ima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više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stotina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hiljada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svoje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obaveze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ispunjavaju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pravilan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način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FC2153" w:rsidRDefault="00FC2153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zaključio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zaključka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povodom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razmatranja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Poverenika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razmotri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utvrdi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narednoj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sednici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D67653" w:rsidRPr="00462B46" w:rsidRDefault="0031737F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</w:p>
    <w:p w:rsidR="00247822" w:rsidRDefault="00495603" w:rsidP="00247822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Četvrta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AD2AE1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7071C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Razmatranje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Predloga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odluke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izboru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sudija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koji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se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prvi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put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biraju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na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sudijsku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funkciju</w:t>
      </w:r>
      <w:r w:rsid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247822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746BFB" w:rsidRDefault="00746BFB" w:rsidP="00746BFB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Biljana</w:t>
      </w:r>
      <w:r w:rsidRPr="00746BF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Hasanović</w:t>
      </w:r>
      <w:r w:rsidRPr="00746BF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Korać</w:t>
      </w:r>
      <w:r w:rsidRPr="00746BF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postavila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pitanje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nesklada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broja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predloženih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kadidata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prvi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izbor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sudija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oglašenih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nepopunjenih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sudijskih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mesta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052431" w:rsidRPr="00746BFB" w:rsidRDefault="00052431" w:rsidP="00746BFB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Petar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Petrović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obavestio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prisutne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članove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član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Visokog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saveta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sudstva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položaju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predlaganju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kandidata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rukovodio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obavezama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Visoki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savet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sudstva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pri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predlaganju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kandidata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izbor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sudija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proističu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Zakona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pravosudnoj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akademiji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AD2AE1" w:rsidRPr="00247822" w:rsidRDefault="00AD2AE1" w:rsidP="00AD2AE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B175CC" w:rsidRDefault="00495603" w:rsidP="00B175CC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Peta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AD2AE1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AD2AE1" w:rsidRPr="00B2133F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Predlog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da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Odbor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pravosuđe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državnu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upravu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lokalnu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samoupravu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zajedno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Odborom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ljudska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manjinska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prava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ravnopravnost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polova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organizuje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javno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slušanje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Izveštaju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o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radu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Nacionalnog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mehanizma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prevenciju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torture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za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godinu</w:t>
      </w:r>
      <w:r w:rsid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B175CC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897103" w:rsidRDefault="00052431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Petar</w:t>
      </w:r>
      <w:r w:rsidR="0008489B" w:rsidRP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Petrović</w:t>
      </w:r>
      <w:r w:rsidR="0008489B" w:rsidRP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skladu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članom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83.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Poslovnika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narodne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skupštine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predložio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pravosuđe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državnu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upravu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lokalnu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samoupravu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zajedno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Odborom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ljudska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manjinska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prava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organizuje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Javno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slušanje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Izveštaju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Nacionalanog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mehanizma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prevenciju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torture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koji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podneo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zaštitnik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građana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i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to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26.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juna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2013.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godine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,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povodom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obeležavanja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Međunarodnog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dana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podrške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žrtvama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torture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052431" w:rsidRDefault="00B37E0A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usvojen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hAnsi="Times New Roman" w:cs="Arial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.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</w:p>
    <w:p w:rsidR="004146B3" w:rsidRPr="0008489B" w:rsidRDefault="004146B3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D2AE1" w:rsidRPr="00BB5579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AD2AE1" w:rsidRDefault="00495603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Šesta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tačka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dnevnog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reda</w:t>
      </w:r>
      <w:r w:rsidR="00AD2AE1"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AD2AE1" w:rsidRPr="00EF46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Razno</w:t>
      </w:r>
      <w:r w:rsidR="00AD2AE1" w:rsidRPr="00AE554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</w:t>
      </w:r>
      <w:r w:rsidR="00AD2AE1" w:rsidRPr="0015599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B37E0A" w:rsidRDefault="00B37E0A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:rsidR="00B37E0A" w:rsidRDefault="00B37E0A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ab/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495603">
        <w:rPr>
          <w:rFonts w:ascii="Times New Roman" w:eastAsia="Times New Roman" w:hAnsi="Times New Roman"/>
          <w:bCs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262B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završena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1</w:t>
      </w:r>
      <w:r w:rsidR="00052431">
        <w:rPr>
          <w:rFonts w:ascii="Times New Roman" w:eastAsia="Times New Roman" w:hAnsi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052431">
        <w:rPr>
          <w:rFonts w:ascii="Times New Roman" w:eastAsia="Times New Roman" w:hAnsi="Times New Roman"/>
          <w:sz w:val="24"/>
          <w:szCs w:val="24"/>
          <w:lang w:val="ru-RU"/>
        </w:rPr>
        <w:t>00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 w:rsidR="008855B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8855B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tonski</w:t>
      </w:r>
      <w:r w:rsidR="008855B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snimana</w:t>
      </w:r>
      <w:r w:rsidR="008855B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SEKRETAR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="0089710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</w:t>
      </w:r>
      <w:r w:rsidR="00495603">
        <w:rPr>
          <w:rFonts w:ascii="Times New Roman" w:eastAsia="Times New Roman" w:hAnsi="Times New Roman"/>
          <w:sz w:val="24"/>
          <w:szCs w:val="24"/>
          <w:lang w:val="ru-RU"/>
        </w:rPr>
        <w:t>PREDSEDNIK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495603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AD2AE1"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/>
        </w:rPr>
        <w:t>Ljiljana</w:t>
      </w:r>
      <w:r w:rsidR="00AD2AE1"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Miletić</w:t>
      </w:r>
      <w:r w:rsidR="00AD2AE1"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Živković</w:t>
      </w:r>
      <w:r w:rsidR="00AD2AE1"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 w:rsidR="00AD2AE1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</w:t>
      </w:r>
      <w:r w:rsidR="0089710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Petar</w:t>
      </w:r>
      <w:r w:rsidR="00AD2AE1"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Petrović</w:t>
      </w:r>
    </w:p>
    <w:p w:rsidR="00AD2AE1" w:rsidRDefault="00AD2AE1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AD2AE1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0734" w:rsidRDefault="00810734"/>
    <w:sectPr w:rsidR="00810734" w:rsidSect="00BD1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5A" w:rsidRDefault="0063395A" w:rsidP="00495603">
      <w:pPr>
        <w:spacing w:after="0" w:line="240" w:lineRule="auto"/>
      </w:pPr>
      <w:r>
        <w:separator/>
      </w:r>
    </w:p>
  </w:endnote>
  <w:endnote w:type="continuationSeparator" w:id="0">
    <w:p w:rsidR="0063395A" w:rsidRDefault="0063395A" w:rsidP="0049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5A" w:rsidRDefault="0063395A" w:rsidP="00495603">
      <w:pPr>
        <w:spacing w:after="0" w:line="240" w:lineRule="auto"/>
      </w:pPr>
      <w:r>
        <w:separator/>
      </w:r>
    </w:p>
  </w:footnote>
  <w:footnote w:type="continuationSeparator" w:id="0">
    <w:p w:rsidR="0063395A" w:rsidRDefault="0063395A" w:rsidP="0049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03" w:rsidRDefault="00495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BE3"/>
    <w:multiLevelType w:val="hybridMultilevel"/>
    <w:tmpl w:val="12164BF8"/>
    <w:lvl w:ilvl="0" w:tplc="B8FAD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5B"/>
    <w:rsid w:val="00003A46"/>
    <w:rsid w:val="000409D8"/>
    <w:rsid w:val="00052431"/>
    <w:rsid w:val="0008489B"/>
    <w:rsid w:val="000E5C5D"/>
    <w:rsid w:val="00175003"/>
    <w:rsid w:val="00247822"/>
    <w:rsid w:val="00265E63"/>
    <w:rsid w:val="00281025"/>
    <w:rsid w:val="002C3722"/>
    <w:rsid w:val="002D1816"/>
    <w:rsid w:val="00307528"/>
    <w:rsid w:val="00315A24"/>
    <w:rsid w:val="0031737F"/>
    <w:rsid w:val="0036550E"/>
    <w:rsid w:val="00387A96"/>
    <w:rsid w:val="003D1A3D"/>
    <w:rsid w:val="004146B3"/>
    <w:rsid w:val="00462B46"/>
    <w:rsid w:val="00495603"/>
    <w:rsid w:val="004A6635"/>
    <w:rsid w:val="004F7A82"/>
    <w:rsid w:val="005B4426"/>
    <w:rsid w:val="00612C18"/>
    <w:rsid w:val="0063395A"/>
    <w:rsid w:val="00633F29"/>
    <w:rsid w:val="00675D44"/>
    <w:rsid w:val="006760F8"/>
    <w:rsid w:val="00681526"/>
    <w:rsid w:val="00687AEB"/>
    <w:rsid w:val="007071CB"/>
    <w:rsid w:val="00722058"/>
    <w:rsid w:val="00746BFB"/>
    <w:rsid w:val="0077599F"/>
    <w:rsid w:val="00792A07"/>
    <w:rsid w:val="007D4097"/>
    <w:rsid w:val="00810734"/>
    <w:rsid w:val="0088395B"/>
    <w:rsid w:val="008855B8"/>
    <w:rsid w:val="00897103"/>
    <w:rsid w:val="008A10BA"/>
    <w:rsid w:val="00906C37"/>
    <w:rsid w:val="009352B3"/>
    <w:rsid w:val="00A03514"/>
    <w:rsid w:val="00A17FB5"/>
    <w:rsid w:val="00A25E89"/>
    <w:rsid w:val="00A60F9F"/>
    <w:rsid w:val="00AD2AE1"/>
    <w:rsid w:val="00B175CC"/>
    <w:rsid w:val="00B37E0A"/>
    <w:rsid w:val="00BA7F9D"/>
    <w:rsid w:val="00BD1C51"/>
    <w:rsid w:val="00BF5DCD"/>
    <w:rsid w:val="00C91163"/>
    <w:rsid w:val="00CF4893"/>
    <w:rsid w:val="00D37017"/>
    <w:rsid w:val="00D67653"/>
    <w:rsid w:val="00E91629"/>
    <w:rsid w:val="00EF7233"/>
    <w:rsid w:val="00F34FA6"/>
    <w:rsid w:val="00F92616"/>
    <w:rsid w:val="00FC215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E1"/>
    <w:pPr>
      <w:ind w:left="720"/>
      <w:contextualSpacing/>
    </w:pPr>
  </w:style>
  <w:style w:type="character" w:customStyle="1" w:styleId="hps">
    <w:name w:val="hps"/>
    <w:rsid w:val="00AD2AE1"/>
  </w:style>
  <w:style w:type="paragraph" w:styleId="Header">
    <w:name w:val="header"/>
    <w:basedOn w:val="Normal"/>
    <w:link w:val="HeaderChar"/>
    <w:uiPriority w:val="99"/>
    <w:unhideWhenUsed/>
    <w:rsid w:val="004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E1"/>
    <w:pPr>
      <w:ind w:left="720"/>
      <w:contextualSpacing/>
    </w:pPr>
  </w:style>
  <w:style w:type="character" w:customStyle="1" w:styleId="hps">
    <w:name w:val="hps"/>
    <w:rsid w:val="00AD2AE1"/>
  </w:style>
  <w:style w:type="paragraph" w:styleId="Header">
    <w:name w:val="header"/>
    <w:basedOn w:val="Normal"/>
    <w:link w:val="HeaderChar"/>
    <w:uiPriority w:val="99"/>
    <w:unhideWhenUsed/>
    <w:rsid w:val="004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10</cp:revision>
  <cp:lastPrinted>2013-06-26T15:15:00Z</cp:lastPrinted>
  <dcterms:created xsi:type="dcterms:W3CDTF">2013-06-26T13:48:00Z</dcterms:created>
  <dcterms:modified xsi:type="dcterms:W3CDTF">2013-07-24T10:34:00Z</dcterms:modified>
</cp:coreProperties>
</file>